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80797A" w:rsidRDefault="006544C4" w:rsidP="0080797A">
      <w:pPr>
        <w:jc w:val="center"/>
        <w:rPr>
          <w:lang w:val="fr-FR"/>
        </w:rPr>
      </w:pPr>
      <w:bookmarkStart w:id="0" w:name="_GoBack"/>
      <w:bookmarkEnd w:id="0"/>
    </w:p>
    <w:p w:rsidR="0094178F" w:rsidRPr="0080797A" w:rsidRDefault="0094178F" w:rsidP="0080797A">
      <w:pPr>
        <w:jc w:val="center"/>
        <w:rPr>
          <w:sz w:val="4"/>
          <w:szCs w:val="4"/>
          <w:lang w:val="fr-FR"/>
        </w:rPr>
      </w:pPr>
    </w:p>
    <w:p w:rsidR="006544C4" w:rsidRPr="0080797A" w:rsidRDefault="00A77CD0" w:rsidP="0080797A">
      <w:pPr>
        <w:pStyle w:val="DecHTitle"/>
        <w:rPr>
          <w:lang w:val="fr-FR"/>
        </w:rPr>
      </w:pPr>
      <w:r w:rsidRPr="0080797A">
        <w:rPr>
          <w:szCs w:val="24"/>
          <w:lang w:val="fr-FR"/>
        </w:rPr>
        <w:t>PREMIÈRE SECTION</w:t>
      </w:r>
    </w:p>
    <w:p w:rsidR="006544C4" w:rsidRPr="0080797A" w:rsidRDefault="006544C4" w:rsidP="0080797A">
      <w:pPr>
        <w:pStyle w:val="DecHTitle"/>
        <w:rPr>
          <w:caps/>
          <w:sz w:val="32"/>
          <w:lang w:val="fr-FR"/>
        </w:rPr>
      </w:pPr>
      <w:r w:rsidRPr="0080797A">
        <w:rPr>
          <w:lang w:val="fr-FR"/>
        </w:rPr>
        <w:t>DÉCISION</w:t>
      </w:r>
    </w:p>
    <w:p w:rsidR="006544C4" w:rsidRPr="0080797A" w:rsidRDefault="00A77CD0" w:rsidP="0080797A">
      <w:pPr>
        <w:pStyle w:val="ECHRTitleCentre2"/>
        <w:rPr>
          <w:lang w:val="fr-FR"/>
        </w:rPr>
      </w:pPr>
      <w:r w:rsidRPr="0080797A">
        <w:rPr>
          <w:lang w:val="fr-FR"/>
        </w:rPr>
        <w:t>Requête n</w:t>
      </w:r>
      <w:r w:rsidRPr="0080797A">
        <w:rPr>
          <w:vertAlign w:val="superscript"/>
          <w:lang w:val="fr-FR"/>
        </w:rPr>
        <w:t>o</w:t>
      </w:r>
      <w:r w:rsidR="006544C4" w:rsidRPr="0080797A">
        <w:rPr>
          <w:lang w:val="fr-FR"/>
        </w:rPr>
        <w:t xml:space="preserve"> </w:t>
      </w:r>
      <w:r w:rsidRPr="0080797A">
        <w:rPr>
          <w:lang w:val="fr-FR"/>
        </w:rPr>
        <w:t>57968/13</w:t>
      </w:r>
      <w:r w:rsidR="006544C4" w:rsidRPr="0080797A">
        <w:rPr>
          <w:lang w:val="fr-FR"/>
        </w:rPr>
        <w:br/>
      </w:r>
      <w:proofErr w:type="spellStart"/>
      <w:r w:rsidRPr="0080797A">
        <w:rPr>
          <w:lang w:val="fr-FR"/>
        </w:rPr>
        <w:t>Clemente</w:t>
      </w:r>
      <w:proofErr w:type="spellEnd"/>
      <w:r w:rsidRPr="0080797A">
        <w:rPr>
          <w:lang w:val="fr-FR"/>
        </w:rPr>
        <w:t xml:space="preserve"> RAINONE</w:t>
      </w:r>
      <w:r w:rsidRPr="0080797A">
        <w:rPr>
          <w:lang w:val="fr-FR"/>
        </w:rPr>
        <w:br/>
      </w:r>
      <w:r w:rsidR="006544C4" w:rsidRPr="0080797A">
        <w:rPr>
          <w:lang w:val="fr-FR"/>
        </w:rPr>
        <w:t xml:space="preserve">contre </w:t>
      </w:r>
      <w:r w:rsidRPr="0080797A">
        <w:rPr>
          <w:lang w:val="fr-FR"/>
        </w:rPr>
        <w:t>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Italie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La Cour européenne des droits de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homme (première section</w:t>
      </w:r>
      <w:r w:rsidR="002B0960" w:rsidRPr="0080797A">
        <w:rPr>
          <w:lang w:val="fr-FR"/>
        </w:rPr>
        <w:t>), siégeant le 21 </w:t>
      </w:r>
      <w:r w:rsidRPr="0080797A">
        <w:rPr>
          <w:lang w:val="fr-FR"/>
        </w:rPr>
        <w:t>juin 2016 en un comité composé de :</w:t>
      </w:r>
    </w:p>
    <w:p w:rsidR="00A77CD0" w:rsidRPr="0080797A" w:rsidRDefault="00A77CD0" w:rsidP="0080797A">
      <w:pPr>
        <w:pStyle w:val="ECHRDecisionBody"/>
        <w:rPr>
          <w:lang w:val="fr-FR"/>
        </w:rPr>
      </w:pPr>
      <w:r w:rsidRPr="0080797A">
        <w:rPr>
          <w:lang w:val="fr-FR"/>
        </w:rPr>
        <w:tab/>
        <w:t xml:space="preserve">Kristina </w:t>
      </w:r>
      <w:proofErr w:type="spellStart"/>
      <w:r w:rsidRPr="0080797A">
        <w:rPr>
          <w:lang w:val="fr-FR"/>
        </w:rPr>
        <w:t>Pardalos</w:t>
      </w:r>
      <w:proofErr w:type="spellEnd"/>
      <w:r w:rsidRPr="0080797A">
        <w:rPr>
          <w:lang w:val="fr-FR"/>
        </w:rPr>
        <w:t>,</w:t>
      </w:r>
      <w:r w:rsidRPr="0080797A">
        <w:rPr>
          <w:i/>
          <w:lang w:val="fr-FR"/>
        </w:rPr>
        <w:t xml:space="preserve"> présidente,</w:t>
      </w:r>
      <w:r w:rsidRPr="0080797A">
        <w:rPr>
          <w:i/>
          <w:lang w:val="fr-FR"/>
        </w:rPr>
        <w:br/>
      </w:r>
      <w:r w:rsidRPr="0080797A">
        <w:rPr>
          <w:lang w:val="fr-FR"/>
        </w:rPr>
        <w:tab/>
        <w:t xml:space="preserve">Paul </w:t>
      </w:r>
      <w:proofErr w:type="spellStart"/>
      <w:r w:rsidRPr="0080797A">
        <w:rPr>
          <w:lang w:val="fr-FR"/>
        </w:rPr>
        <w:t>Mahoney</w:t>
      </w:r>
      <w:proofErr w:type="spellEnd"/>
      <w:r w:rsidRPr="0080797A">
        <w:rPr>
          <w:lang w:val="fr-FR"/>
        </w:rPr>
        <w:t>,</w:t>
      </w:r>
      <w:r w:rsidRPr="0080797A">
        <w:rPr>
          <w:i/>
          <w:lang w:val="fr-FR"/>
        </w:rPr>
        <w:br/>
      </w:r>
      <w:r w:rsidRPr="0080797A">
        <w:rPr>
          <w:lang w:val="fr-FR"/>
        </w:rPr>
        <w:tab/>
        <w:t xml:space="preserve">Robert </w:t>
      </w:r>
      <w:proofErr w:type="spellStart"/>
      <w:r w:rsidRPr="0080797A">
        <w:rPr>
          <w:lang w:val="fr-FR"/>
        </w:rPr>
        <w:t>Spano</w:t>
      </w:r>
      <w:proofErr w:type="spellEnd"/>
      <w:r w:rsidRPr="0080797A">
        <w:rPr>
          <w:lang w:val="fr-FR"/>
        </w:rPr>
        <w:t>,</w:t>
      </w:r>
      <w:r w:rsidRPr="0080797A">
        <w:rPr>
          <w:i/>
          <w:lang w:val="fr-FR"/>
        </w:rPr>
        <w:t xml:space="preserve"> juges,</w:t>
      </w:r>
    </w:p>
    <w:p w:rsidR="00A77CD0" w:rsidRPr="0080797A" w:rsidRDefault="00A77CD0" w:rsidP="0080797A">
      <w:pPr>
        <w:pStyle w:val="ECHRDecisionBody"/>
        <w:rPr>
          <w:lang w:val="fr-FR"/>
        </w:rPr>
      </w:pPr>
      <w:proofErr w:type="gramStart"/>
      <w:r w:rsidRPr="0080797A">
        <w:rPr>
          <w:lang w:val="fr-FR"/>
        </w:rPr>
        <w:t>et</w:t>
      </w:r>
      <w:proofErr w:type="gramEnd"/>
      <w:r w:rsidRPr="0080797A">
        <w:rPr>
          <w:lang w:val="fr-FR"/>
        </w:rPr>
        <w:t xml:space="preserve"> de </w:t>
      </w:r>
      <w:r w:rsidR="00641387" w:rsidRPr="0080797A">
        <w:rPr>
          <w:lang w:val="fr-FR"/>
        </w:rPr>
        <w:t xml:space="preserve">Renata </w:t>
      </w:r>
      <w:proofErr w:type="spellStart"/>
      <w:r w:rsidR="00641387" w:rsidRPr="0080797A">
        <w:rPr>
          <w:lang w:val="fr-FR"/>
        </w:rPr>
        <w:t>Degener</w:t>
      </w:r>
      <w:proofErr w:type="spellEnd"/>
      <w:r w:rsidR="00641387" w:rsidRPr="0080797A">
        <w:rPr>
          <w:lang w:val="fr-FR"/>
        </w:rPr>
        <w:t xml:space="preserve">, </w:t>
      </w:r>
      <w:r w:rsidR="00641387" w:rsidRPr="0080797A">
        <w:rPr>
          <w:i/>
          <w:lang w:val="fr-FR"/>
        </w:rPr>
        <w:t>greffière adjointe de section</w:t>
      </w:r>
      <w:r w:rsidRPr="0080797A">
        <w:rPr>
          <w:i/>
          <w:lang w:val="fr-FR"/>
        </w:rPr>
        <w:t>,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Vu la requête susmentionnée introduite le 4 septembre 2013,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Après en avoir délibéré, rend la décision suivante :</w:t>
      </w:r>
    </w:p>
    <w:p w:rsidR="00A77CD0" w:rsidRPr="0080797A" w:rsidRDefault="00A77CD0" w:rsidP="0080797A">
      <w:pPr>
        <w:pStyle w:val="ECHRTitle1"/>
        <w:rPr>
          <w:lang w:val="fr-FR"/>
        </w:rPr>
      </w:pPr>
      <w:r w:rsidRPr="0080797A">
        <w:rPr>
          <w:lang w:val="fr-FR"/>
        </w:rPr>
        <w:t>EN FAIT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 xml:space="preserve">1.  Le requérant, M. </w:t>
      </w:r>
      <w:proofErr w:type="spellStart"/>
      <w:r w:rsidRPr="0080797A">
        <w:rPr>
          <w:lang w:val="fr-FR"/>
        </w:rPr>
        <w:t>Clemente</w:t>
      </w:r>
      <w:proofErr w:type="spellEnd"/>
      <w:r w:rsidRPr="0080797A">
        <w:rPr>
          <w:lang w:val="fr-FR"/>
        </w:rPr>
        <w:t xml:space="preserve"> </w:t>
      </w:r>
      <w:proofErr w:type="spellStart"/>
      <w:r w:rsidRPr="0080797A">
        <w:rPr>
          <w:lang w:val="fr-FR"/>
        </w:rPr>
        <w:t>Rainone</w:t>
      </w:r>
      <w:proofErr w:type="spellEnd"/>
      <w:r w:rsidRPr="0080797A">
        <w:rPr>
          <w:lang w:val="fr-FR"/>
        </w:rPr>
        <w:t>, est un ressortissant italien né en 1952 et actuellement détenu dans un pénitencier non précisé. Il a été représenté devant la Cour par M</w:t>
      </w:r>
      <w:r w:rsidRPr="0080797A">
        <w:rPr>
          <w:vertAlign w:val="superscript"/>
          <w:lang w:val="fr-FR"/>
        </w:rPr>
        <w:t>e</w:t>
      </w:r>
      <w:r w:rsidRPr="0080797A">
        <w:rPr>
          <w:lang w:val="fr-FR"/>
        </w:rPr>
        <w:t xml:space="preserve"> S. Sabato, avocat à Palma </w:t>
      </w:r>
      <w:proofErr w:type="spellStart"/>
      <w:r w:rsidRPr="0080797A">
        <w:rPr>
          <w:lang w:val="fr-FR"/>
        </w:rPr>
        <w:t>Campania</w:t>
      </w:r>
      <w:proofErr w:type="spellEnd"/>
      <w:r w:rsidRPr="0080797A">
        <w:rPr>
          <w:lang w:val="fr-FR"/>
        </w:rPr>
        <w:t xml:space="preserve"> (Naples).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2.  Le gouvernement italien (« le Gouvernement ») a été représenté par son agent, M</w:t>
      </w:r>
      <w:r w:rsidRPr="0080797A">
        <w:rPr>
          <w:vertAlign w:val="superscript"/>
          <w:lang w:val="fr-FR"/>
        </w:rPr>
        <w:t>me</w:t>
      </w:r>
      <w:r w:rsidRPr="0080797A">
        <w:rPr>
          <w:lang w:val="fr-FR"/>
        </w:rPr>
        <w:t xml:space="preserve"> E. </w:t>
      </w:r>
      <w:proofErr w:type="spellStart"/>
      <w:r w:rsidRPr="0080797A">
        <w:rPr>
          <w:lang w:val="fr-FR"/>
        </w:rPr>
        <w:t>Spatafora</w:t>
      </w:r>
      <w:proofErr w:type="spellEnd"/>
      <w:r w:rsidRPr="0080797A">
        <w:rPr>
          <w:lang w:val="fr-FR"/>
        </w:rPr>
        <w:t>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3.  Les faits de la cause, tels qu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ils ont été exposés par les parties, peuvent se résumer comme suit.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4.  Le requérant fut accusé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extorsion. Cette accusation se fondait sur le témoignage de la victime, X, un entrepreneur qui avait déclaré que le requérant avait insisté pour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accompagner à un rendez-vous dans une localité isolée, où Y, membre notoire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une association de malfaiteurs de type mafieux,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avait menacé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obligeant à lui donner la somme de 7 000 000 lires (ITL – environ 3 615 euros (EUR)) en échange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un chèque sans provision.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lastRenderedPageBreak/>
        <w:t xml:space="preserve">5.  Le requérant fut renvoyé en jugement devant le tribunal de Nola. X fut </w:t>
      </w:r>
      <w:proofErr w:type="gramStart"/>
      <w:r w:rsidRPr="0080797A">
        <w:rPr>
          <w:lang w:val="fr-FR"/>
        </w:rPr>
        <w:t>interrogé</w:t>
      </w:r>
      <w:proofErr w:type="gramEnd"/>
      <w:r w:rsidRPr="0080797A">
        <w:rPr>
          <w:lang w:val="fr-FR"/>
        </w:rPr>
        <w:t xml:space="preserve"> au cours des débats.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6.  Par un jugement du 26 septembre 2007, le tribunal de Nola relaxa le requérant, vu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absence de faits délictueux (</w:t>
      </w:r>
      <w:r w:rsidRPr="0080797A">
        <w:rPr>
          <w:i/>
          <w:lang w:val="fr-FR"/>
        </w:rPr>
        <w:t xml:space="preserve">perché il </w:t>
      </w:r>
      <w:proofErr w:type="spellStart"/>
      <w:r w:rsidRPr="0080797A">
        <w:rPr>
          <w:i/>
          <w:lang w:val="fr-FR"/>
        </w:rPr>
        <w:t>fatto</w:t>
      </w:r>
      <w:proofErr w:type="spellEnd"/>
      <w:r w:rsidRPr="0080797A">
        <w:rPr>
          <w:i/>
          <w:lang w:val="fr-FR"/>
        </w:rPr>
        <w:t xml:space="preserve"> non </w:t>
      </w:r>
      <w:proofErr w:type="spellStart"/>
      <w:r w:rsidRPr="0080797A">
        <w:rPr>
          <w:i/>
          <w:lang w:val="fr-FR"/>
        </w:rPr>
        <w:t>sussiste</w:t>
      </w:r>
      <w:proofErr w:type="spellEnd"/>
      <w:r w:rsidRPr="0080797A">
        <w:rPr>
          <w:lang w:val="fr-FR"/>
        </w:rPr>
        <w:t>). Le tribunal observa que la version de X était peu cohérente et contenait de nombreuses imprécisions ; dès lors, elle n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était pas de nature à prouver, au</w:t>
      </w:r>
      <w:r w:rsidRPr="0080797A">
        <w:rPr>
          <w:lang w:val="fr-FR"/>
        </w:rPr>
        <w:noBreakHyphen/>
        <w:t>delà de tout doute raisonnable, la culpabilité de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accusé.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7.  Le parquet et la partie civile interjetèrent appel.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8.  Par un arrêt du 24 septembre 2010, la cour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appel de Naples condamna le requérant à une peine de sept ans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emprisonnement et 1 500 EUR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amende.</w:t>
      </w:r>
    </w:p>
    <w:p w:rsidR="00A77CD0" w:rsidRPr="0080797A" w:rsidRDefault="00A77CD0" w:rsidP="0080797A">
      <w:pPr>
        <w:pStyle w:val="ECHRPara"/>
        <w:rPr>
          <w:lang w:val="fr-FR"/>
        </w:rPr>
      </w:pPr>
      <w:bookmarkStart w:id="1" w:name="ragionamentocorteappello"/>
      <w:r w:rsidRPr="0080797A">
        <w:rPr>
          <w:lang w:val="fr-FR"/>
        </w:rPr>
        <w:t>9</w:t>
      </w:r>
      <w:bookmarkEnd w:id="1"/>
      <w:r w:rsidRPr="0080797A">
        <w:rPr>
          <w:lang w:val="fr-FR"/>
        </w:rPr>
        <w:t>.  La cour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 xml:space="preserve">appel observa que X avait été </w:t>
      </w:r>
      <w:proofErr w:type="gramStart"/>
      <w:r w:rsidRPr="0080797A">
        <w:rPr>
          <w:lang w:val="fr-FR"/>
        </w:rPr>
        <w:t>précis</w:t>
      </w:r>
      <w:proofErr w:type="gramEnd"/>
      <w:r w:rsidRPr="0080797A">
        <w:rPr>
          <w:lang w:val="fr-FR"/>
        </w:rPr>
        <w:t xml:space="preserve"> et cohérent dans sa description des évènements et qu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il avait lui-même indiqué que leur colocation temporelle était approximative. Ceci était compréhensible, vu le long laps de temps s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étant écoulé depuis les faits. Enfin, le comportement de X au cours du procès ne permettait pas de douter de sa bonne foi.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 xml:space="preserve">10.  Le requérant se </w:t>
      </w:r>
      <w:proofErr w:type="spellStart"/>
      <w:r w:rsidRPr="0080797A">
        <w:rPr>
          <w:lang w:val="fr-FR"/>
        </w:rPr>
        <w:t>pourvut</w:t>
      </w:r>
      <w:proofErr w:type="spellEnd"/>
      <w:r w:rsidRPr="0080797A">
        <w:rPr>
          <w:lang w:val="fr-FR"/>
        </w:rPr>
        <w:t xml:space="preserve"> en cassation. Il allégua notamment que son affaire était similaire à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 xml:space="preserve">affaire </w:t>
      </w:r>
      <w:r w:rsidRPr="0080797A">
        <w:rPr>
          <w:i/>
          <w:lang w:val="fr-FR"/>
        </w:rPr>
        <w:t>Dan c. Moldova</w:t>
      </w:r>
      <w:r w:rsidRPr="0080797A">
        <w:rPr>
          <w:lang w:val="fr-FR"/>
        </w:rPr>
        <w:t>, (n</w:t>
      </w:r>
      <w:r w:rsidRPr="0080797A">
        <w:rPr>
          <w:vertAlign w:val="superscript"/>
          <w:lang w:val="fr-FR"/>
        </w:rPr>
        <w:t>o</w:t>
      </w:r>
      <w:r w:rsidRPr="0080797A">
        <w:rPr>
          <w:lang w:val="fr-FR"/>
        </w:rPr>
        <w:t xml:space="preserve"> 8999/07, </w:t>
      </w:r>
      <w:r w:rsidR="008F4EDE" w:rsidRPr="0080797A">
        <w:rPr>
          <w:lang w:val="fr-FR"/>
        </w:rPr>
        <w:t>5 </w:t>
      </w:r>
      <w:r w:rsidRPr="0080797A">
        <w:rPr>
          <w:lang w:val="fr-FR"/>
        </w:rPr>
        <w:t>juillet 2011), où la Cour avait conclu à la violation de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article 6 de la Convention car, après un acquittement en première instance, le juge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appel avait donné une interprétation radicalement différente de la crédibilité du principal témoignage à charge, sans en interroger à nouveau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auteur. Le requérant demandait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application de ce principe de droit en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espèce.</w:t>
      </w:r>
    </w:p>
    <w:p w:rsidR="00A77CD0" w:rsidRPr="0080797A" w:rsidRDefault="00A77CD0" w:rsidP="0080797A">
      <w:pPr>
        <w:pStyle w:val="ECHRPara"/>
        <w:rPr>
          <w:lang w:val="fr-FR"/>
        </w:rPr>
      </w:pPr>
      <w:bookmarkStart w:id="2" w:name="sentenzaCcass1"/>
      <w:r w:rsidRPr="0080797A">
        <w:rPr>
          <w:lang w:val="fr-FR"/>
        </w:rPr>
        <w:t>11</w:t>
      </w:r>
      <w:bookmarkEnd w:id="2"/>
      <w:r w:rsidRPr="0080797A">
        <w:rPr>
          <w:lang w:val="fr-FR"/>
        </w:rPr>
        <w:t>.  Par un arrêt du 11 janvier 2013, dont le texte fut déposé au greffe le 8 mars 2013, la Cour de cassation débouta le requérant de son pourvoi. Elle estima que la cour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appel n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avait pas effectué une simple réévaluation des déclarations de X, mais les avait appréciés à la lumière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éléments ultérieurs, ignorés par le juge de première instance.</w:t>
      </w:r>
    </w:p>
    <w:p w:rsidR="00A77CD0" w:rsidRPr="0080797A" w:rsidRDefault="00A77CD0" w:rsidP="0080797A">
      <w:pPr>
        <w:pStyle w:val="ECHRTitle1"/>
        <w:rPr>
          <w:lang w:val="fr-FR"/>
        </w:rPr>
      </w:pPr>
      <w:r w:rsidRPr="0080797A">
        <w:rPr>
          <w:lang w:val="fr-FR"/>
        </w:rPr>
        <w:t>GRIEF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12.  Le requérant se plaint de sa condamnation par la cour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appel de Naples, qu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il estime contraire à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article 6 de la Convention</w:t>
      </w:r>
    </w:p>
    <w:p w:rsidR="00A77CD0" w:rsidRPr="0080797A" w:rsidRDefault="00A77CD0" w:rsidP="0080797A">
      <w:pPr>
        <w:pStyle w:val="ECHRTitle1"/>
        <w:rPr>
          <w:lang w:val="fr-FR"/>
        </w:rPr>
      </w:pPr>
      <w:r w:rsidRPr="0080797A">
        <w:rPr>
          <w:lang w:val="fr-FR"/>
        </w:rPr>
        <w:t>EN DROIT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13.  La Cour observe que le 24 septembre 2015, à la suite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un examen préliminaire de la recevabilité de la requête, la vice-présidente de la section à laquelle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affaire avait été attribuée a décidé, en vertu de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 xml:space="preserve">article 54 § 2 b) du règlement de la Cour, de donner connaissance de la requête au </w:t>
      </w:r>
      <w:r w:rsidRPr="0080797A">
        <w:rPr>
          <w:lang w:val="fr-FR"/>
        </w:rPr>
        <w:lastRenderedPageBreak/>
        <w:t>Gouvernement et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inviter celui-ci à présenter par écrit ses observations sur la recevabilité et le bien-fondé de la requête.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14.  Les observations du Gouvernement sur la recevabilité et le bien</w:t>
      </w:r>
      <w:r w:rsidR="00641387" w:rsidRPr="0080797A">
        <w:rPr>
          <w:lang w:val="fr-FR"/>
        </w:rPr>
        <w:noBreakHyphen/>
      </w:r>
      <w:r w:rsidRPr="0080797A">
        <w:rPr>
          <w:lang w:val="fr-FR"/>
        </w:rPr>
        <w:t>fondé de la requête sont parvenues au greffe de la Cour le 20 janvier 2016.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15.  Par une lettre du 27 janvier 2016, le greffe de la Cour a invité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avocat du requérant à faire parvenir au plus tard le 9 mars 2016 les observations en réponse et les demandes de satisfaction équitable au nom de la partie requérante.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16.  Aucune réponse n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ayant été reçue, par une lettre recommandée avec accusé de réception du 21 mars 2016, le greffe de la Cour a informé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avocat du requérant que le délai imparti pour la présentation de ses observations sur la recevabilité et le bien-fondé de la</w:t>
      </w:r>
      <w:r w:rsidR="00E032FC" w:rsidRPr="0080797A">
        <w:rPr>
          <w:lang w:val="fr-FR"/>
        </w:rPr>
        <w:t xml:space="preserve"> requête était échu depuis le 9 </w:t>
      </w:r>
      <w:r w:rsidRPr="0080797A">
        <w:rPr>
          <w:lang w:val="fr-FR"/>
        </w:rPr>
        <w:t>mars 2016, et qu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aucune prorogation de ce délai n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avait été sollicitée. Le greffe de la Cour a en outre attiré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attention de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avocat du requérant sur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article 37 § 1 a) de la Convention, aux termes duquel la Cour peut rayer une affaire du rôle lorsque les circonstances donnent à penser que la partie requérante n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entend pas maintenir sa requête.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17.  Le 5 avril 2016,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avocat du requérant a reçu la lettre du 21 mars 2016.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18.  La Cour note qu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à ce jour, aucune réponse ne lui est parvenue de la part du requérant ou de son avocat. Les intéressés n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ont pas présenté d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observations en réponse, n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ont fourni aucune explication de cette omission et n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ont pas sollicité une prorogation du délai pertinent. Dans ces conditions, la Cour estime que les circonstances permettent de conclure que le requérant n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entend plus maintenir sa requête aux termes de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article 37 § 1 a) de la Convention.</w:t>
      </w:r>
    </w:p>
    <w:p w:rsidR="00A77CD0" w:rsidRPr="0080797A" w:rsidRDefault="00A77CD0" w:rsidP="0080797A">
      <w:pPr>
        <w:pStyle w:val="ECHRPara"/>
        <w:rPr>
          <w:lang w:val="fr-FR"/>
        </w:rPr>
      </w:pPr>
      <w:r w:rsidRPr="0080797A">
        <w:rPr>
          <w:lang w:val="fr-FR"/>
        </w:rPr>
        <w:t>19.  La Cour n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aperçoit par ailleurs aucun motif justifiant de poursuivre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 xml:space="preserve">examen de la requête (article 37 § 1 </w:t>
      </w:r>
      <w:r w:rsidRPr="0080797A">
        <w:rPr>
          <w:i/>
          <w:lang w:val="fr-FR"/>
        </w:rPr>
        <w:t>in fine</w:t>
      </w:r>
      <w:r w:rsidRPr="0080797A">
        <w:rPr>
          <w:lang w:val="fr-FR"/>
        </w:rPr>
        <w:t xml:space="preserve"> de la Convention). En conséquence, il convient de rayer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affaire du rôle.</w:t>
      </w:r>
    </w:p>
    <w:p w:rsidR="00A77CD0" w:rsidRPr="0080797A" w:rsidRDefault="00A77CD0" w:rsidP="0080797A">
      <w:pPr>
        <w:pStyle w:val="JuParaLast"/>
        <w:rPr>
          <w:i/>
          <w:lang w:val="fr-FR"/>
        </w:rPr>
      </w:pPr>
      <w:r w:rsidRPr="0080797A">
        <w:rPr>
          <w:lang w:val="fr-FR"/>
        </w:rPr>
        <w:t>Par ces motifs, la Cour, à l</w:t>
      </w:r>
      <w:r w:rsidR="0080797A" w:rsidRPr="0080797A">
        <w:rPr>
          <w:lang w:val="fr-FR"/>
        </w:rPr>
        <w:t>’</w:t>
      </w:r>
      <w:r w:rsidRPr="0080797A">
        <w:rPr>
          <w:lang w:val="fr-FR"/>
        </w:rPr>
        <w:t>unanimité,</w:t>
      </w:r>
    </w:p>
    <w:p w:rsidR="00A77CD0" w:rsidRPr="0080797A" w:rsidRDefault="00A77CD0" w:rsidP="0080797A">
      <w:pPr>
        <w:pStyle w:val="DecList"/>
        <w:rPr>
          <w:lang w:val="fr-FR"/>
        </w:rPr>
      </w:pPr>
      <w:r w:rsidRPr="0080797A">
        <w:rPr>
          <w:i/>
          <w:lang w:val="fr-FR"/>
        </w:rPr>
        <w:t>Décide</w:t>
      </w:r>
      <w:r w:rsidRPr="0080797A">
        <w:rPr>
          <w:lang w:val="fr-FR"/>
        </w:rPr>
        <w:t xml:space="preserve"> de rayer la requête du rôle.</w:t>
      </w:r>
    </w:p>
    <w:p w:rsidR="006544C4" w:rsidRPr="0080797A" w:rsidRDefault="006544C4" w:rsidP="0080797A">
      <w:pPr>
        <w:pStyle w:val="ECHRPara"/>
        <w:rPr>
          <w:sz w:val="2"/>
          <w:szCs w:val="2"/>
          <w:lang w:val="fr-FR" w:eastAsia="en-GB"/>
        </w:rPr>
      </w:pPr>
    </w:p>
    <w:p w:rsidR="00050A32" w:rsidRPr="0080797A" w:rsidRDefault="00F40988" w:rsidP="0080797A">
      <w:pPr>
        <w:pStyle w:val="JuParaLast"/>
        <w:rPr>
          <w:lang w:val="fr-FR"/>
        </w:rPr>
      </w:pPr>
      <w:r w:rsidRPr="0080797A">
        <w:rPr>
          <w:szCs w:val="24"/>
          <w:lang w:val="fr-FR"/>
        </w:rPr>
        <w:t xml:space="preserve">Fait en français puis communiqué par écrit le </w:t>
      </w:r>
      <w:r w:rsidR="00A77CD0" w:rsidRPr="0080797A">
        <w:rPr>
          <w:szCs w:val="24"/>
          <w:lang w:val="fr-FR"/>
        </w:rPr>
        <w:t>12 juillet 2016</w:t>
      </w:r>
      <w:r w:rsidRPr="0080797A">
        <w:rPr>
          <w:lang w:val="fr-FR"/>
        </w:rPr>
        <w:t>.</w:t>
      </w:r>
    </w:p>
    <w:p w:rsidR="00234E8A" w:rsidRPr="0080797A" w:rsidRDefault="00050A32" w:rsidP="0080797A">
      <w:pPr>
        <w:pStyle w:val="JuSigned"/>
        <w:rPr>
          <w:lang w:val="fr-FR"/>
        </w:rPr>
      </w:pPr>
      <w:r w:rsidRPr="0080797A">
        <w:rPr>
          <w:lang w:val="fr-FR"/>
        </w:rPr>
        <w:tab/>
      </w:r>
      <w:r w:rsidR="00A77CD0" w:rsidRPr="0080797A">
        <w:rPr>
          <w:szCs w:val="24"/>
          <w:lang w:val="fr-FR"/>
        </w:rPr>
        <w:t xml:space="preserve">Renata </w:t>
      </w:r>
      <w:proofErr w:type="spellStart"/>
      <w:r w:rsidR="00A77CD0" w:rsidRPr="0080797A">
        <w:rPr>
          <w:szCs w:val="24"/>
          <w:lang w:val="fr-FR"/>
        </w:rPr>
        <w:t>Degener</w:t>
      </w:r>
      <w:proofErr w:type="spellEnd"/>
      <w:r w:rsidR="00A77CD0" w:rsidRPr="0080797A">
        <w:rPr>
          <w:szCs w:val="24"/>
          <w:lang w:val="fr-FR"/>
        </w:rPr>
        <w:tab/>
        <w:t xml:space="preserve">Kristina </w:t>
      </w:r>
      <w:proofErr w:type="spellStart"/>
      <w:r w:rsidR="00A77CD0" w:rsidRPr="0080797A">
        <w:rPr>
          <w:szCs w:val="24"/>
          <w:lang w:val="fr-FR"/>
        </w:rPr>
        <w:t>Pardalos</w:t>
      </w:r>
      <w:proofErr w:type="spellEnd"/>
      <w:r w:rsidR="00A77CD0" w:rsidRPr="0080797A">
        <w:rPr>
          <w:szCs w:val="24"/>
          <w:lang w:val="fr-FR"/>
        </w:rPr>
        <w:br/>
      </w:r>
      <w:r w:rsidR="00A77CD0" w:rsidRPr="0080797A">
        <w:rPr>
          <w:szCs w:val="24"/>
          <w:lang w:val="fr-FR"/>
        </w:rPr>
        <w:tab/>
        <w:t>Greffière adjointe</w:t>
      </w:r>
      <w:r w:rsidR="00A77CD0" w:rsidRPr="0080797A">
        <w:rPr>
          <w:szCs w:val="24"/>
          <w:lang w:val="fr-FR"/>
        </w:rPr>
        <w:tab/>
        <w:t>Présidente</w:t>
      </w:r>
    </w:p>
    <w:sectPr w:rsidR="00234E8A" w:rsidRPr="0080797A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58" w:rsidRPr="00AC6FC1" w:rsidRDefault="00F43258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F43258" w:rsidRPr="00AC6FC1" w:rsidRDefault="00F43258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D0" w:rsidRPr="00150BFA" w:rsidRDefault="00A77CD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C236C8A" wp14:editId="46079CB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F43258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58" w:rsidRPr="00AC6FC1" w:rsidRDefault="00F43258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F43258" w:rsidRPr="00AC6FC1" w:rsidRDefault="00F43258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A77CD0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30119C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RAINONE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A77CD0">
      <w:rPr>
        <w:lang w:val="fr-FR"/>
      </w:rPr>
      <w:t>RAINONE c. ITALIE</w:t>
    </w:r>
    <w:r w:rsidRPr="00AC6FC1">
      <w:rPr>
        <w:lang w:val="fr-FR"/>
      </w:rPr>
      <w:tab/>
    </w:r>
    <w:r w:rsidR="00A77CD0">
      <w:rPr>
        <w:rStyle w:val="Numeropagina"/>
        <w:lang w:val="fr-FR"/>
      </w:rPr>
      <w:fldChar w:fldCharType="begin"/>
    </w:r>
    <w:r w:rsidR="00A77CD0">
      <w:rPr>
        <w:rStyle w:val="Numeropagina"/>
        <w:lang w:val="fr-FR"/>
      </w:rPr>
      <w:instrText xml:space="preserve"> PAGE </w:instrText>
    </w:r>
    <w:r w:rsidR="00A77CD0">
      <w:rPr>
        <w:rStyle w:val="Numeropagina"/>
        <w:lang w:val="fr-FR"/>
      </w:rPr>
      <w:fldChar w:fldCharType="separate"/>
    </w:r>
    <w:r w:rsidR="0030119C">
      <w:rPr>
        <w:rStyle w:val="Numeropagina"/>
        <w:noProof/>
        <w:lang w:val="fr-FR"/>
      </w:rPr>
      <w:t>3</w:t>
    </w:r>
    <w:r w:rsidR="00A77CD0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D0" w:rsidRPr="00A45145" w:rsidRDefault="00A77CD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E208B47" wp14:editId="018BF1C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F43258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A77CD0"/>
    <w:rsid w:val="000041F8"/>
    <w:rsid w:val="000042A8"/>
    <w:rsid w:val="00004308"/>
    <w:rsid w:val="00005BF0"/>
    <w:rsid w:val="00007154"/>
    <w:rsid w:val="00007AE7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4BA7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87739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0960"/>
    <w:rsid w:val="002B444B"/>
    <w:rsid w:val="002B5887"/>
    <w:rsid w:val="002C0E27"/>
    <w:rsid w:val="002C3040"/>
    <w:rsid w:val="002D022D"/>
    <w:rsid w:val="002D24BB"/>
    <w:rsid w:val="002F2AF7"/>
    <w:rsid w:val="002F7E1C"/>
    <w:rsid w:val="0030119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1E2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6471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1387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0797A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4EDE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5878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77CD0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4220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32FC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325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516471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51647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51647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51647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51647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51647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51647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516471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51647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51647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164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471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516471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516471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516471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516471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516471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516471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516471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516471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516471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516471"/>
  </w:style>
  <w:style w:type="paragraph" w:customStyle="1" w:styleId="JuParaSub">
    <w:name w:val="Ju_Para_Sub"/>
    <w:basedOn w:val="ECHRPara"/>
    <w:uiPriority w:val="13"/>
    <w:qFormat/>
    <w:rsid w:val="00516471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516471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516471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516471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516471"/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516471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516471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51647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516471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Case">
    <w:name w:val="Ju_Case"/>
    <w:basedOn w:val="Normale"/>
    <w:next w:val="ECHRPara"/>
    <w:uiPriority w:val="10"/>
    <w:semiHidden/>
    <w:rsid w:val="00516471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516471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516471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516471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516471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516471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516471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516471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51647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516471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516471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516471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51647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516471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516471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516471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516471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516471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516471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516471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516471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516471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JuITMark">
    <w:name w:val="Ju_ITMark"/>
    <w:basedOn w:val="Carpredefinitoparagrafo"/>
    <w:uiPriority w:val="38"/>
    <w:qFormat/>
    <w:rsid w:val="00516471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516471"/>
    <w:pPr>
      <w:jc w:val="center"/>
      <w:outlineLvl w:val="0"/>
    </w:pPr>
    <w:rPr>
      <w:i/>
    </w:rPr>
  </w:style>
  <w:style w:type="character" w:styleId="Enfasidelicata">
    <w:name w:val="Subtle Emphasis"/>
    <w:uiPriority w:val="99"/>
    <w:semiHidden/>
    <w:qFormat/>
    <w:rsid w:val="00516471"/>
    <w:rPr>
      <w:i/>
      <w:iCs/>
    </w:rPr>
  </w:style>
  <w:style w:type="paragraph" w:customStyle="1" w:styleId="JuCourt">
    <w:name w:val="Ju_Court"/>
    <w:basedOn w:val="Normale"/>
    <w:next w:val="Normale"/>
    <w:uiPriority w:val="16"/>
    <w:qFormat/>
    <w:rsid w:val="00516471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">
    <w:name w:val="Ju_List"/>
    <w:basedOn w:val="Normale"/>
    <w:uiPriority w:val="28"/>
    <w:qFormat/>
    <w:rsid w:val="00516471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516471"/>
    <w:pPr>
      <w:ind w:left="346" w:firstLine="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516471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5164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516471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516471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5164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4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471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51647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51647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516471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516471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516471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516471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51647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516471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516471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516471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516471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516471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516471"/>
    <w:rPr>
      <w:smallCaps/>
    </w:rPr>
  </w:style>
  <w:style w:type="table" w:styleId="Grigliatabella">
    <w:name w:val="Table Grid"/>
    <w:basedOn w:val="Tabellanormale"/>
    <w:uiPriority w:val="59"/>
    <w:semiHidden/>
    <w:rsid w:val="0051647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516471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516471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516471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516471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516471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516471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516471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i">
    <w:name w:val="Ju_List_i"/>
    <w:basedOn w:val="Normale"/>
    <w:next w:val="JuLista"/>
    <w:uiPriority w:val="28"/>
    <w:qFormat/>
    <w:rsid w:val="00516471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516471"/>
    <w:pPr>
      <w:ind w:left="635" w:hanging="357"/>
      <w:outlineLvl w:val="2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51647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516471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516471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16471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516471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516471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516471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516471"/>
    <w:pPr>
      <w:ind w:left="833" w:hanging="357"/>
      <w:outlineLvl w:val="3"/>
    </w:pPr>
    <w:rPr>
      <w:b/>
      <w:i w:val="0"/>
      <w:sz w:val="20"/>
    </w:rPr>
  </w:style>
  <w:style w:type="character" w:customStyle="1" w:styleId="ECHRParaChar">
    <w:name w:val="ECHR_Para Char"/>
    <w:aliases w:val="Ju_Para Char"/>
    <w:basedOn w:val="NessunaspaziaturaCarattere"/>
    <w:link w:val="ECHRPara"/>
    <w:uiPriority w:val="12"/>
    <w:rsid w:val="00A77CD0"/>
    <w:rPr>
      <w:rFonts w:eastAsiaTheme="minorEastAsia"/>
      <w:sz w:val="24"/>
    </w:rPr>
  </w:style>
  <w:style w:type="paragraph" w:customStyle="1" w:styleId="OpiHi">
    <w:name w:val="Opi_H_i"/>
    <w:basedOn w:val="ECHRHeading4"/>
    <w:uiPriority w:val="44"/>
    <w:semiHidden/>
    <w:qFormat/>
    <w:rsid w:val="00516471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516471"/>
    <w:rPr>
      <w:color w:val="00B050"/>
      <w:lang w:bidi="en-US"/>
    </w:rPr>
  </w:style>
  <w:style w:type="character" w:customStyle="1" w:styleId="JuParaCar">
    <w:name w:val="Ju_Para Car"/>
    <w:uiPriority w:val="12"/>
    <w:rsid w:val="00187739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88F6-0530-4DCA-891D-D5D9BAC50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9B796-4F7B-4993-A89F-D1B840516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6AFC6-2EF8-4014-AB72-9174CC6CF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1A9FCF-7799-43C0-B221-81D3F7EB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2016-07-21T09:43:00Z</dcterms:created>
  <dcterms:modified xsi:type="dcterms:W3CDTF">2016-07-21T09:43:00Z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